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sz w:val="36"/>
        </w:rPr>
      </w:pPr>
    </w:p>
    <w:p>
      <w:pPr>
        <w:jc w:val="center"/>
        <w:rPr>
          <w:rFonts w:ascii="华文中宋" w:eastAsia="华文中宋"/>
          <w:sz w:val="36"/>
        </w:rPr>
      </w:pPr>
    </w:p>
    <w:p>
      <w:pPr>
        <w:jc w:val="center"/>
        <w:rPr>
          <w:rFonts w:ascii="华文中宋" w:eastAsia="华文中宋"/>
          <w:sz w:val="36"/>
        </w:rPr>
      </w:pPr>
    </w:p>
    <w:p>
      <w:pPr>
        <w:jc w:val="center"/>
        <w:rPr>
          <w:rFonts w:hint="eastAsia" w:ascii="方正小标宋简体" w:eastAsia="方正小标宋简体"/>
          <w:sz w:val="36"/>
        </w:rPr>
      </w:pPr>
      <w:r>
        <w:rPr>
          <w:rFonts w:hint="eastAsia" w:ascii="方正小标宋简体" w:eastAsia="方正小标宋简体"/>
          <w:sz w:val="36"/>
        </w:rPr>
        <w:t>关于组织</w:t>
      </w:r>
      <w:r>
        <w:rPr>
          <w:rFonts w:hint="eastAsia" w:ascii="方正小标宋简体" w:eastAsia="方正小标宋简体"/>
          <w:sz w:val="36"/>
          <w:lang w:eastAsia="zh-CN"/>
        </w:rPr>
        <w:t>开展</w:t>
      </w:r>
      <w:r>
        <w:rPr>
          <w:rFonts w:hint="eastAsia" w:ascii="方正小标宋简体" w:eastAsia="方正小标宋简体"/>
          <w:sz w:val="36"/>
        </w:rPr>
        <w:t>2018</w:t>
      </w:r>
      <w:r>
        <w:rPr>
          <w:rFonts w:hint="eastAsia" w:ascii="方正小标宋简体" w:eastAsia="方正小标宋简体"/>
          <w:sz w:val="36"/>
          <w:lang w:eastAsia="zh-CN"/>
        </w:rPr>
        <w:t>年</w:t>
      </w:r>
      <w:r>
        <w:rPr>
          <w:rFonts w:hint="eastAsia" w:ascii="方正小标宋简体" w:eastAsia="方正小标宋简体"/>
          <w:sz w:val="36"/>
        </w:rPr>
        <w:t>文化惠民券资助演出</w:t>
      </w:r>
    </w:p>
    <w:p>
      <w:pPr>
        <w:jc w:val="center"/>
        <w:rPr>
          <w:rFonts w:ascii="方正小标宋简体" w:eastAsia="方正小标宋简体"/>
          <w:sz w:val="36"/>
        </w:rPr>
      </w:pPr>
      <w:r>
        <w:rPr>
          <w:rFonts w:hint="eastAsia" w:ascii="方正小标宋简体" w:eastAsia="方正小标宋简体"/>
          <w:sz w:val="36"/>
        </w:rPr>
        <w:t>群众文艺团队新创节目调演的通知</w:t>
      </w:r>
    </w:p>
    <w:p>
      <w:pPr>
        <w:jc w:val="center"/>
        <w:rPr>
          <w:rFonts w:ascii="华文中宋" w:eastAsia="华文中宋"/>
          <w:sz w:val="36"/>
        </w:rPr>
      </w:pPr>
    </w:p>
    <w:p>
      <w:pPr>
        <w:spacing w:line="578" w:lineRule="exact"/>
        <w:rPr>
          <w:rFonts w:ascii="仿宋" w:hAnsi="仿宋" w:eastAsia="仿宋" w:cs="仿宋"/>
          <w:szCs w:val="32"/>
        </w:rPr>
      </w:pPr>
      <w:r>
        <w:rPr>
          <w:rFonts w:hint="eastAsia" w:ascii="仿宋" w:hAnsi="仿宋" w:eastAsia="仿宋" w:cs="仿宋"/>
          <w:szCs w:val="32"/>
        </w:rPr>
        <w:t>海陵区文体旅新局、高港区文体旅游局、姜堰区文广新局</w:t>
      </w:r>
      <w:r>
        <w:rPr>
          <w:rFonts w:hint="eastAsia" w:ascii="仿宋" w:hAnsi="仿宋" w:eastAsia="仿宋" w:cs="仿宋"/>
          <w:szCs w:val="32"/>
          <w:lang w:eastAsia="zh-CN"/>
        </w:rPr>
        <w:t>、</w:t>
      </w:r>
      <w:r>
        <w:rPr>
          <w:rFonts w:hint="eastAsia" w:ascii="仿宋" w:hAnsi="仿宋" w:eastAsia="仿宋" w:cs="仿宋"/>
          <w:szCs w:val="32"/>
        </w:rPr>
        <w:t>泰州医药高新区党工委宣传部、：</w:t>
      </w:r>
    </w:p>
    <w:p>
      <w:pPr>
        <w:spacing w:line="578" w:lineRule="exact"/>
        <w:ind w:firstLine="640" w:firstLineChars="200"/>
        <w:rPr>
          <w:rFonts w:ascii="仿宋" w:hAnsi="仿宋" w:eastAsia="仿宋" w:cs="仿宋"/>
          <w:szCs w:val="32"/>
        </w:rPr>
      </w:pPr>
      <w:r>
        <w:rPr>
          <w:rFonts w:hint="eastAsia" w:ascii="仿宋" w:hAnsi="仿宋" w:eastAsia="仿宋" w:cs="仿宋"/>
          <w:szCs w:val="32"/>
        </w:rPr>
        <w:t>为进一步</w:t>
      </w:r>
      <w:r>
        <w:rPr>
          <w:rFonts w:hint="eastAsia" w:ascii="仿宋" w:hAnsi="仿宋" w:eastAsia="仿宋" w:cs="仿宋"/>
          <w:szCs w:val="32"/>
          <w:lang w:eastAsia="zh-CN"/>
        </w:rPr>
        <w:t>提高</w:t>
      </w:r>
      <w:r>
        <w:rPr>
          <w:rFonts w:hint="eastAsia" w:ascii="仿宋" w:hAnsi="仿宋" w:eastAsia="仿宋" w:cs="仿宋"/>
          <w:szCs w:val="32"/>
        </w:rPr>
        <w:t>我市文化惠民券</w:t>
      </w:r>
      <w:r>
        <w:rPr>
          <w:rFonts w:hint="eastAsia" w:ascii="仿宋" w:hAnsi="仿宋" w:eastAsia="仿宋" w:cs="仿宋"/>
          <w:szCs w:val="32"/>
          <w:lang w:eastAsia="zh-CN"/>
        </w:rPr>
        <w:t>资助演出团队整体水平和节目质量，</w:t>
      </w:r>
      <w:r>
        <w:rPr>
          <w:rFonts w:hint="eastAsia" w:ascii="仿宋" w:hAnsi="仿宋" w:eastAsia="仿宋" w:cs="仿宋"/>
          <w:szCs w:val="32"/>
        </w:rPr>
        <w:t>强化文化惠民</w:t>
      </w:r>
      <w:r>
        <w:rPr>
          <w:rFonts w:hint="eastAsia" w:ascii="仿宋" w:hAnsi="仿宋" w:eastAsia="仿宋" w:cs="仿宋"/>
          <w:szCs w:val="32"/>
          <w:lang w:eastAsia="zh-CN"/>
        </w:rPr>
        <w:t>券</w:t>
      </w:r>
      <w:r>
        <w:rPr>
          <w:rFonts w:hint="eastAsia" w:ascii="仿宋" w:hAnsi="仿宋" w:eastAsia="仿宋" w:cs="仿宋"/>
          <w:szCs w:val="32"/>
        </w:rPr>
        <w:t>资助团队演出效果</w:t>
      </w:r>
      <w:r>
        <w:rPr>
          <w:rFonts w:hint="eastAsia" w:ascii="仿宋" w:hAnsi="仿宋" w:eastAsia="仿宋" w:cs="仿宋"/>
          <w:szCs w:val="32"/>
          <w:lang w:eastAsia="zh-CN"/>
        </w:rPr>
        <w:t>，</w:t>
      </w:r>
      <w:r>
        <w:rPr>
          <w:rFonts w:hint="eastAsia" w:ascii="仿宋" w:hAnsi="仿宋" w:eastAsia="仿宋" w:cs="仿宋"/>
          <w:szCs w:val="32"/>
        </w:rPr>
        <w:t>增强人民群众获得感和满意度，经研究</w:t>
      </w:r>
      <w:r>
        <w:rPr>
          <w:rFonts w:hint="eastAsia" w:ascii="仿宋" w:hAnsi="仿宋" w:eastAsia="仿宋" w:cs="仿宋"/>
          <w:szCs w:val="32"/>
          <w:lang w:eastAsia="zh-CN"/>
        </w:rPr>
        <w:t>，定于</w:t>
      </w:r>
      <w:r>
        <w:rPr>
          <w:rFonts w:hint="eastAsia" w:ascii="仿宋" w:hAnsi="仿宋" w:eastAsia="仿宋" w:cs="仿宋"/>
          <w:szCs w:val="32"/>
          <w:lang w:val="en-US" w:eastAsia="zh-CN"/>
        </w:rPr>
        <w:t>12月中旬</w:t>
      </w:r>
      <w:r>
        <w:rPr>
          <w:rFonts w:hint="eastAsia" w:ascii="仿宋" w:hAnsi="仿宋" w:eastAsia="仿宋" w:cs="仿宋"/>
          <w:szCs w:val="32"/>
        </w:rPr>
        <w:t>组织</w:t>
      </w:r>
      <w:r>
        <w:rPr>
          <w:rFonts w:hint="eastAsia" w:ascii="仿宋" w:hAnsi="仿宋" w:eastAsia="仿宋" w:cs="仿宋"/>
          <w:szCs w:val="32"/>
          <w:lang w:eastAsia="zh-CN"/>
        </w:rPr>
        <w:t>开展</w:t>
      </w:r>
      <w:r>
        <w:rPr>
          <w:rFonts w:hint="eastAsia" w:ascii="仿宋" w:hAnsi="仿宋" w:eastAsia="仿宋" w:cs="仿宋"/>
          <w:szCs w:val="32"/>
        </w:rPr>
        <w:t>2018年文化惠民券资助演出群众文艺团队新创节目调演活动，具体通知如下：</w:t>
      </w:r>
    </w:p>
    <w:p>
      <w:pPr>
        <w:numPr>
          <w:ilvl w:val="0"/>
          <w:numId w:val="1"/>
        </w:numPr>
        <w:spacing w:line="578" w:lineRule="exact"/>
        <w:ind w:firstLine="640" w:firstLineChars="200"/>
        <w:rPr>
          <w:rFonts w:ascii="黑体" w:hAnsi="黑体" w:eastAsia="黑体" w:cs="黑体"/>
          <w:szCs w:val="32"/>
        </w:rPr>
      </w:pPr>
      <w:r>
        <w:rPr>
          <w:rFonts w:hint="eastAsia" w:ascii="黑体" w:hAnsi="黑体" w:eastAsia="黑体" w:cs="黑体"/>
          <w:szCs w:val="32"/>
        </w:rPr>
        <w:t>调演时间</w:t>
      </w:r>
    </w:p>
    <w:p>
      <w:pPr>
        <w:spacing w:line="578" w:lineRule="exact"/>
        <w:ind w:firstLine="640" w:firstLineChars="200"/>
        <w:rPr>
          <w:rFonts w:ascii="仿宋" w:hAnsi="仿宋" w:eastAsia="仿宋" w:cs="仿宋"/>
          <w:szCs w:val="32"/>
        </w:rPr>
      </w:pPr>
      <w:r>
        <w:rPr>
          <w:rFonts w:hint="eastAsia" w:ascii="仿宋" w:hAnsi="仿宋" w:eastAsia="仿宋" w:cs="仿宋"/>
          <w:szCs w:val="32"/>
        </w:rPr>
        <w:t>2018年12月</w:t>
      </w:r>
      <w:r>
        <w:rPr>
          <w:rFonts w:hint="eastAsia" w:ascii="仿宋" w:hAnsi="仿宋" w:eastAsia="仿宋" w:cs="仿宋"/>
          <w:szCs w:val="32"/>
          <w:lang w:val="en-US" w:eastAsia="zh-CN"/>
        </w:rPr>
        <w:t>13日-</w:t>
      </w:r>
      <w:r>
        <w:rPr>
          <w:rFonts w:hint="eastAsia" w:ascii="仿宋" w:hAnsi="仿宋" w:eastAsia="仿宋" w:cs="仿宋"/>
          <w:szCs w:val="32"/>
        </w:rPr>
        <w:t>14日</w:t>
      </w:r>
    </w:p>
    <w:p>
      <w:pPr>
        <w:numPr>
          <w:ilvl w:val="0"/>
          <w:numId w:val="1"/>
        </w:numPr>
        <w:spacing w:line="578" w:lineRule="exact"/>
        <w:ind w:firstLine="640" w:firstLineChars="200"/>
        <w:rPr>
          <w:rFonts w:ascii="黑体" w:hAnsi="黑体" w:eastAsia="黑体" w:cs="黑体"/>
          <w:szCs w:val="32"/>
        </w:rPr>
      </w:pPr>
      <w:r>
        <w:rPr>
          <w:rFonts w:hint="eastAsia" w:ascii="黑体" w:hAnsi="黑体" w:eastAsia="黑体" w:cs="黑体"/>
          <w:szCs w:val="32"/>
        </w:rPr>
        <w:t>调演地点</w:t>
      </w:r>
    </w:p>
    <w:p>
      <w:pPr>
        <w:spacing w:line="578" w:lineRule="exact"/>
        <w:ind w:firstLine="707" w:firstLineChars="221"/>
        <w:rPr>
          <w:rFonts w:hint="eastAsia" w:ascii="仿宋" w:hAnsi="仿宋" w:eastAsia="仿宋" w:cs="仿宋"/>
          <w:szCs w:val="32"/>
          <w:lang w:eastAsia="zh-CN"/>
        </w:rPr>
      </w:pPr>
      <w:r>
        <w:rPr>
          <w:rFonts w:hint="eastAsia" w:ascii="仿宋" w:hAnsi="仿宋" w:eastAsia="仿宋" w:cs="仿宋"/>
          <w:szCs w:val="32"/>
        </w:rPr>
        <w:t>泰州市文化馆</w:t>
      </w:r>
      <w:r>
        <w:rPr>
          <w:rFonts w:hint="eastAsia" w:ascii="仿宋" w:hAnsi="仿宋" w:eastAsia="仿宋" w:cs="仿宋"/>
          <w:szCs w:val="32"/>
          <w:lang w:eastAsia="zh-CN"/>
        </w:rPr>
        <w:t>民众剧场</w:t>
      </w:r>
    </w:p>
    <w:p>
      <w:pPr>
        <w:numPr>
          <w:ilvl w:val="0"/>
          <w:numId w:val="0"/>
        </w:numPr>
        <w:spacing w:line="578" w:lineRule="exact"/>
        <w:ind w:firstLine="640" w:firstLineChars="200"/>
        <w:rPr>
          <w:rFonts w:hint="eastAsia" w:ascii="黑体" w:hAnsi="黑体" w:eastAsia="黑体" w:cs="黑体"/>
          <w:szCs w:val="32"/>
          <w:lang w:eastAsia="zh-CN"/>
        </w:rPr>
      </w:pPr>
      <w:r>
        <w:rPr>
          <w:rFonts w:hint="eastAsia" w:ascii="黑体" w:hAnsi="黑体" w:eastAsia="黑体" w:cs="黑体"/>
          <w:szCs w:val="32"/>
        </w:rPr>
        <w:t>三、</w:t>
      </w:r>
      <w:r>
        <w:rPr>
          <w:rFonts w:hint="eastAsia" w:ascii="黑体" w:hAnsi="黑体" w:eastAsia="黑体" w:cs="黑体"/>
          <w:szCs w:val="32"/>
          <w:lang w:eastAsia="zh-CN"/>
        </w:rPr>
        <w:t>具体要求</w:t>
      </w:r>
    </w:p>
    <w:p>
      <w:pPr>
        <w:spacing w:line="578" w:lineRule="exact"/>
        <w:ind w:firstLine="640" w:firstLineChars="200"/>
        <w:rPr>
          <w:rFonts w:hint="eastAsia" w:ascii="仿宋_GB2312" w:eastAsia="仿宋_GB2312"/>
          <w:sz w:val="32"/>
          <w:szCs w:val="32"/>
          <w:lang w:val="en-US" w:eastAsia="zh-CN"/>
        </w:rPr>
      </w:pPr>
      <w:r>
        <w:rPr>
          <w:rFonts w:hint="eastAsia"/>
        </w:rPr>
        <w:t>1</w:t>
      </w:r>
      <w:r>
        <w:rPr>
          <w:rFonts w:hint="eastAsia"/>
          <w:lang w:eastAsia="zh-CN"/>
        </w:rPr>
        <w:t>.</w:t>
      </w:r>
      <w:r>
        <w:rPr>
          <w:rFonts w:hint="eastAsia"/>
        </w:rPr>
        <w:t>节目</w:t>
      </w:r>
      <w:r>
        <w:rPr>
          <w:rFonts w:hint="eastAsia"/>
          <w:lang w:eastAsia="zh-CN"/>
        </w:rPr>
        <w:t>内容：</w:t>
      </w:r>
      <w:r>
        <w:rPr>
          <w:rFonts w:hint="eastAsia" w:ascii="仿宋_GB2312" w:eastAsia="仿宋_GB2312"/>
          <w:sz w:val="32"/>
          <w:szCs w:val="32"/>
          <w:lang w:val="en-US" w:eastAsia="zh-CN"/>
        </w:rPr>
        <w:t>弘扬民族优秀传统文化，体现</w:t>
      </w:r>
      <w:r>
        <w:rPr>
          <w:rFonts w:hint="eastAsia" w:ascii="仿宋_GB2312" w:eastAsia="仿宋_GB2312"/>
          <w:sz w:val="32"/>
          <w:szCs w:val="32"/>
        </w:rPr>
        <w:t>社会主义</w:t>
      </w:r>
      <w:r>
        <w:rPr>
          <w:rFonts w:hint="eastAsia" w:ascii="仿宋_GB2312" w:eastAsia="仿宋_GB2312"/>
          <w:sz w:val="32"/>
          <w:szCs w:val="32"/>
          <w:lang w:val="en-US" w:eastAsia="zh-CN"/>
        </w:rPr>
        <w:t>时代精神，聚焦伟大复兴中国梦，彰显泰州地域文化特色，反映勤政廉政典型人物，讴歌人民群众幸福生活和全市经济社会发展成就。</w:t>
      </w:r>
      <w:r>
        <w:rPr>
          <w:rFonts w:hint="eastAsia" w:ascii="仿宋_GB2312" w:eastAsia="仿宋_GB2312"/>
          <w:sz w:val="32"/>
          <w:szCs w:val="32"/>
        </w:rPr>
        <w:t>要求主题鲜明，</w:t>
      </w:r>
      <w:r>
        <w:rPr>
          <w:rFonts w:hint="eastAsia" w:ascii="仿宋_GB2312" w:eastAsia="仿宋_GB2312"/>
          <w:sz w:val="32"/>
          <w:szCs w:val="32"/>
          <w:lang w:val="en-US" w:eastAsia="zh-CN"/>
        </w:rPr>
        <w:t>内容充实，形式创新，表演生动，富有思想性、艺术性和感染力。</w:t>
      </w:r>
    </w:p>
    <w:p>
      <w:pPr>
        <w:spacing w:line="578" w:lineRule="exact"/>
        <w:ind w:firstLine="640" w:firstLineChars="200"/>
      </w:pPr>
      <w:r>
        <w:rPr>
          <w:rFonts w:hint="eastAsia"/>
        </w:rPr>
        <w:t>2</w:t>
      </w:r>
      <w:r>
        <w:rPr>
          <w:rFonts w:hint="eastAsia"/>
          <w:lang w:eastAsia="zh-CN"/>
        </w:rPr>
        <w:t>.</w:t>
      </w:r>
      <w:r>
        <w:rPr>
          <w:rFonts w:hint="eastAsia"/>
        </w:rPr>
        <w:t>节目形式</w:t>
      </w:r>
      <w:r>
        <w:rPr>
          <w:rFonts w:hint="eastAsia"/>
          <w:lang w:eastAsia="zh-CN"/>
        </w:rPr>
        <w:t>：</w:t>
      </w:r>
      <w:r>
        <w:rPr>
          <w:rFonts w:hint="eastAsia"/>
        </w:rPr>
        <w:t>包括音乐、舞蹈、曲艺（含表演唱、相声、快板、诗歌朗诵等）、</w:t>
      </w:r>
      <w:r>
        <w:rPr>
          <w:rFonts w:hint="eastAsia"/>
          <w:lang w:eastAsia="zh-CN"/>
        </w:rPr>
        <w:t>戏剧（含小戏、小品）等，提倡</w:t>
      </w:r>
      <w:r>
        <w:rPr>
          <w:rFonts w:hint="eastAsia"/>
        </w:rPr>
        <w:t>创新。</w:t>
      </w:r>
    </w:p>
    <w:p>
      <w:pPr>
        <w:spacing w:line="578" w:lineRule="exact"/>
        <w:ind w:firstLine="640" w:firstLineChars="200"/>
        <w:rPr>
          <w:rFonts w:hint="eastAsia"/>
        </w:rPr>
      </w:pPr>
      <w:r>
        <w:rPr>
          <w:rFonts w:hint="eastAsia"/>
        </w:rPr>
        <w:t>3</w:t>
      </w:r>
      <w:r>
        <w:rPr>
          <w:rFonts w:hint="eastAsia"/>
          <w:lang w:eastAsia="zh-CN"/>
        </w:rPr>
        <w:t>.节目时间：</w:t>
      </w:r>
      <w:r>
        <w:rPr>
          <w:rFonts w:hint="eastAsia"/>
        </w:rPr>
        <w:t>音乐节目演出时间不超过5分钟；舞蹈节目演出时间不超过7分钟；曲艺节目演出时间不超过9分钟；小戏小品演出时间不超过12分钟，其他形式的节目不宜超过8分钟。</w:t>
      </w:r>
    </w:p>
    <w:p>
      <w:pPr>
        <w:spacing w:line="580" w:lineRule="exact"/>
        <w:ind w:firstLine="640" w:firstLineChars="200"/>
        <w:rPr>
          <w:rFonts w:hint="eastAsia" w:ascii="仿宋_GB2312" w:eastAsia="仿宋_GB2312"/>
          <w:sz w:val="32"/>
          <w:szCs w:val="32"/>
        </w:rPr>
      </w:pPr>
      <w:r>
        <w:rPr>
          <w:rFonts w:hint="eastAsia"/>
        </w:rPr>
        <w:t>4.</w:t>
      </w:r>
      <w:r>
        <w:rPr>
          <w:rFonts w:hint="eastAsia"/>
          <w:lang w:val="en-US" w:eastAsia="zh-CN"/>
        </w:rPr>
        <w:t>节目数量</w:t>
      </w:r>
      <w:r>
        <w:rPr>
          <w:rFonts w:hint="eastAsia"/>
        </w:rPr>
        <w:t>：</w:t>
      </w:r>
      <w:r>
        <w:rPr>
          <w:rFonts w:hint="eastAsia"/>
          <w:sz w:val="32"/>
          <w:szCs w:val="32"/>
          <w:lang w:eastAsia="zh-CN"/>
        </w:rPr>
        <w:t>海陵区</w:t>
      </w:r>
      <w:r>
        <w:rPr>
          <w:rFonts w:hint="eastAsia" w:ascii="仿宋_GB2312" w:eastAsia="仿宋_GB2312"/>
          <w:sz w:val="32"/>
          <w:szCs w:val="32"/>
        </w:rPr>
        <w:t>、</w:t>
      </w:r>
      <w:r>
        <w:rPr>
          <w:rFonts w:hint="eastAsia"/>
          <w:sz w:val="32"/>
          <w:szCs w:val="32"/>
          <w:lang w:eastAsia="zh-CN"/>
        </w:rPr>
        <w:t>姜堰区各申报</w:t>
      </w:r>
      <w:r>
        <w:rPr>
          <w:rFonts w:hint="eastAsia"/>
          <w:sz w:val="32"/>
          <w:szCs w:val="32"/>
          <w:lang w:val="en-US" w:eastAsia="zh-CN"/>
        </w:rPr>
        <w:t>8个；</w:t>
      </w:r>
      <w:r>
        <w:rPr>
          <w:rFonts w:hint="eastAsia" w:ascii="仿宋_GB2312" w:eastAsia="仿宋_GB2312"/>
          <w:sz w:val="32"/>
          <w:szCs w:val="32"/>
        </w:rPr>
        <w:t>高港</w:t>
      </w:r>
      <w:r>
        <w:rPr>
          <w:rFonts w:hint="eastAsia"/>
          <w:sz w:val="32"/>
          <w:szCs w:val="32"/>
          <w:lang w:eastAsia="zh-CN"/>
        </w:rPr>
        <w:t>区申报</w:t>
      </w:r>
      <w:r>
        <w:rPr>
          <w:rFonts w:hint="eastAsia"/>
          <w:sz w:val="32"/>
          <w:szCs w:val="32"/>
          <w:lang w:val="en-US" w:eastAsia="zh-CN"/>
        </w:rPr>
        <w:t>3个；</w:t>
      </w:r>
      <w:r>
        <w:rPr>
          <w:rFonts w:hint="eastAsia" w:ascii="仿宋_GB2312" w:eastAsia="仿宋_GB2312"/>
          <w:sz w:val="32"/>
          <w:szCs w:val="32"/>
        </w:rPr>
        <w:t>医药高新区</w:t>
      </w:r>
      <w:r>
        <w:rPr>
          <w:rFonts w:hint="eastAsia"/>
          <w:sz w:val="32"/>
          <w:szCs w:val="32"/>
          <w:lang w:eastAsia="zh-CN"/>
        </w:rPr>
        <w:t>申报</w:t>
      </w:r>
      <w:r>
        <w:rPr>
          <w:rFonts w:hint="eastAsia"/>
          <w:sz w:val="32"/>
          <w:szCs w:val="32"/>
          <w:lang w:val="en-US" w:eastAsia="zh-CN"/>
        </w:rPr>
        <w:t>2个</w:t>
      </w:r>
      <w:r>
        <w:rPr>
          <w:rFonts w:hint="eastAsia" w:ascii="仿宋_GB2312" w:eastAsia="仿宋_GB2312"/>
          <w:sz w:val="32"/>
          <w:szCs w:val="32"/>
        </w:rPr>
        <w:t>（</w:t>
      </w:r>
      <w:r>
        <w:rPr>
          <w:rFonts w:hint="eastAsia"/>
          <w:sz w:val="32"/>
          <w:szCs w:val="32"/>
          <w:lang w:eastAsia="zh-CN"/>
        </w:rPr>
        <w:t>节目</w:t>
      </w:r>
      <w:r>
        <w:rPr>
          <w:rFonts w:hint="eastAsia" w:ascii="仿宋_GB2312" w:eastAsia="仿宋_GB2312"/>
          <w:sz w:val="32"/>
          <w:szCs w:val="32"/>
        </w:rPr>
        <w:t>形式不限）。</w:t>
      </w:r>
    </w:p>
    <w:p>
      <w:pPr>
        <w:numPr>
          <w:ilvl w:val="0"/>
          <w:numId w:val="0"/>
        </w:numPr>
        <w:spacing w:line="578" w:lineRule="exact"/>
        <w:ind w:firstLine="640" w:firstLineChars="200"/>
        <w:rPr>
          <w:rFonts w:hint="eastAsia" w:ascii="黑体" w:hAnsi="黑体" w:eastAsia="黑体" w:cs="黑体"/>
          <w:szCs w:val="32"/>
          <w:lang w:eastAsia="zh-CN"/>
        </w:rPr>
      </w:pPr>
      <w:r>
        <w:rPr>
          <w:rFonts w:hint="eastAsia" w:ascii="黑体" w:hAnsi="黑体" w:eastAsia="黑体" w:cs="黑体"/>
          <w:szCs w:val="32"/>
          <w:lang w:eastAsia="zh-CN"/>
        </w:rPr>
        <w:t>四、时间安排</w:t>
      </w:r>
    </w:p>
    <w:p>
      <w:pPr>
        <w:spacing w:line="578" w:lineRule="exact"/>
        <w:ind w:firstLine="640" w:firstLineChars="200"/>
        <w:rPr>
          <w:rFonts w:hint="eastAsia" w:ascii="仿宋_GB2312" w:eastAsia="仿宋_GB2312"/>
          <w:sz w:val="32"/>
          <w:szCs w:val="32"/>
        </w:rPr>
      </w:pPr>
      <w:r>
        <w:rPr>
          <w:rFonts w:hint="eastAsia"/>
          <w:sz w:val="32"/>
          <w:szCs w:val="32"/>
          <w:lang w:val="en-US" w:eastAsia="zh-CN"/>
        </w:rPr>
        <w:t>1.12月7日（星期五）前，各区</w:t>
      </w:r>
      <w:r>
        <w:rPr>
          <w:rFonts w:hint="eastAsia" w:ascii="仿宋_GB2312" w:eastAsia="仿宋_GB2312"/>
          <w:sz w:val="32"/>
          <w:szCs w:val="32"/>
          <w:lang w:val="en-US" w:eastAsia="zh-CN"/>
        </w:rPr>
        <w:t>按要求填写</w:t>
      </w:r>
      <w:r>
        <w:rPr>
          <w:rFonts w:hint="eastAsia"/>
          <w:lang w:val="en-US" w:eastAsia="zh-CN"/>
        </w:rPr>
        <w:t>《2018年泰州市</w:t>
      </w:r>
      <w:r>
        <w:rPr>
          <w:rFonts w:hint="eastAsia"/>
        </w:rPr>
        <w:t>文化惠民券资助演出群众文艺团队新创节目</w:t>
      </w:r>
      <w:r>
        <w:rPr>
          <w:rFonts w:hint="eastAsia"/>
          <w:lang w:eastAsia="zh-CN"/>
        </w:rPr>
        <w:t>推荐表》</w:t>
      </w:r>
      <w:r>
        <w:rPr>
          <w:rFonts w:hint="eastAsia" w:ascii="仿宋_GB2312" w:eastAsia="仿宋_GB2312"/>
          <w:sz w:val="32"/>
          <w:szCs w:val="32"/>
          <w:lang w:val="en-US" w:eastAsia="zh-CN"/>
        </w:rPr>
        <w:t>，并将推荐表和节目剧本</w:t>
      </w:r>
      <w:r>
        <w:rPr>
          <w:rFonts w:hint="eastAsia" w:ascii="仿宋_GB2312" w:eastAsia="仿宋_GB2312"/>
          <w:sz w:val="32"/>
          <w:szCs w:val="32"/>
        </w:rPr>
        <w:t>以电子邮件形式上报。</w:t>
      </w:r>
    </w:p>
    <w:p>
      <w:pPr>
        <w:spacing w:line="580" w:lineRule="exact"/>
        <w:ind w:firstLine="640" w:firstLineChars="200"/>
        <w:rPr>
          <w:rFonts w:hint="eastAsia" w:ascii="仿宋_GB2312" w:eastAsia="仿宋_GB2312"/>
          <w:sz w:val="32"/>
          <w:szCs w:val="32"/>
          <w:lang w:val="en-US" w:eastAsia="zh-CN"/>
        </w:rPr>
      </w:pPr>
      <w:r>
        <w:rPr>
          <w:rFonts w:hint="eastAsia"/>
          <w:sz w:val="32"/>
          <w:szCs w:val="32"/>
          <w:lang w:val="en-US" w:eastAsia="zh-CN"/>
        </w:rPr>
        <w:t>2.</w:t>
      </w:r>
      <w:r>
        <w:rPr>
          <w:rFonts w:hint="eastAsia" w:ascii="仿宋_GB2312" w:eastAsia="仿宋_GB2312"/>
          <w:sz w:val="32"/>
          <w:szCs w:val="32"/>
          <w:lang w:val="en-US" w:eastAsia="zh-CN"/>
        </w:rPr>
        <w:t>12月</w:t>
      </w:r>
      <w:r>
        <w:rPr>
          <w:rFonts w:hint="eastAsia"/>
          <w:sz w:val="32"/>
          <w:szCs w:val="32"/>
          <w:lang w:val="en-US" w:eastAsia="zh-CN"/>
        </w:rPr>
        <w:t>12</w:t>
      </w:r>
      <w:r>
        <w:rPr>
          <w:rFonts w:hint="eastAsia" w:ascii="仿宋_GB2312" w:eastAsia="仿宋_GB2312"/>
          <w:sz w:val="32"/>
          <w:szCs w:val="32"/>
          <w:lang w:val="en-US" w:eastAsia="zh-CN"/>
        </w:rPr>
        <w:t>日</w:t>
      </w:r>
      <w:r>
        <w:rPr>
          <w:rFonts w:hint="eastAsia"/>
          <w:sz w:val="32"/>
          <w:szCs w:val="32"/>
          <w:lang w:val="en-US" w:eastAsia="zh-CN"/>
        </w:rPr>
        <w:t>（星期三）</w:t>
      </w:r>
      <w:r>
        <w:rPr>
          <w:rFonts w:hint="eastAsia" w:ascii="仿宋_GB2312" w:eastAsia="仿宋_GB2312"/>
          <w:sz w:val="32"/>
          <w:szCs w:val="32"/>
          <w:lang w:val="en-US" w:eastAsia="zh-CN"/>
        </w:rPr>
        <w:t>上午</w:t>
      </w:r>
      <w:r>
        <w:rPr>
          <w:rFonts w:hint="eastAsia"/>
          <w:sz w:val="32"/>
          <w:szCs w:val="32"/>
          <w:lang w:val="en-US" w:eastAsia="zh-CN"/>
        </w:rPr>
        <w:t>10:00前，各区选派代表</w:t>
      </w:r>
      <w:r>
        <w:rPr>
          <w:rFonts w:hint="eastAsia" w:ascii="仿宋_GB2312" w:eastAsia="仿宋_GB2312"/>
          <w:sz w:val="32"/>
          <w:szCs w:val="32"/>
          <w:lang w:val="en-US" w:eastAsia="zh-CN"/>
        </w:rPr>
        <w:t>到市文广新局会议室参加节目抽签；</w:t>
      </w:r>
    </w:p>
    <w:p>
      <w:pPr>
        <w:spacing w:line="580" w:lineRule="exact"/>
        <w:ind w:firstLine="640" w:firstLineChars="200"/>
        <w:rPr>
          <w:rFonts w:hint="eastAsia"/>
          <w:sz w:val="32"/>
          <w:szCs w:val="32"/>
          <w:lang w:val="en-US" w:eastAsia="zh-CN"/>
        </w:rPr>
      </w:pPr>
      <w:r>
        <w:rPr>
          <w:rFonts w:hint="eastAsia"/>
          <w:sz w:val="32"/>
          <w:szCs w:val="32"/>
          <w:lang w:val="en-US" w:eastAsia="zh-CN"/>
        </w:rPr>
        <w:t>3.12月13日下午2:00—5:00，海陵区、医药高新区参演节目走台；12月14日上午8:30—10:00，高港区、姜堰区参演节目走台；10:00—12:00，节目联排；</w:t>
      </w:r>
    </w:p>
    <w:p>
      <w:pPr>
        <w:spacing w:line="580" w:lineRule="exact"/>
        <w:ind w:firstLine="640" w:firstLineChars="200"/>
        <w:rPr>
          <w:rFonts w:hint="eastAsia"/>
          <w:sz w:val="32"/>
          <w:szCs w:val="32"/>
          <w:lang w:val="en-US" w:eastAsia="zh-CN"/>
        </w:rPr>
      </w:pPr>
      <w:r>
        <w:rPr>
          <w:rFonts w:hint="eastAsia"/>
          <w:sz w:val="32"/>
          <w:szCs w:val="32"/>
          <w:lang w:val="en-US" w:eastAsia="zh-CN"/>
        </w:rPr>
        <w:t>4.12月14日下午2:00，正式演出。</w:t>
      </w:r>
    </w:p>
    <w:p>
      <w:pPr>
        <w:spacing w:line="578" w:lineRule="exact"/>
        <w:ind w:firstLine="640" w:firstLineChars="200"/>
        <w:rPr>
          <w:rFonts w:ascii="黑体" w:eastAsia="黑体"/>
          <w:szCs w:val="32"/>
        </w:rPr>
      </w:pPr>
      <w:r>
        <w:rPr>
          <w:rFonts w:hint="eastAsia" w:ascii="黑体" w:eastAsia="黑体"/>
          <w:szCs w:val="32"/>
        </w:rPr>
        <w:t>五、有关要求</w:t>
      </w:r>
    </w:p>
    <w:p>
      <w:pPr>
        <w:spacing w:line="578" w:lineRule="exact"/>
        <w:ind w:firstLine="640" w:firstLineChars="200"/>
        <w:rPr>
          <w:kern w:val="0"/>
          <w:szCs w:val="32"/>
        </w:rPr>
      </w:pPr>
      <w:r>
        <w:rPr>
          <w:rFonts w:hint="eastAsia"/>
          <w:kern w:val="0"/>
          <w:szCs w:val="32"/>
        </w:rPr>
        <w:t>1</w:t>
      </w:r>
      <w:r>
        <w:rPr>
          <w:rFonts w:hint="eastAsia"/>
          <w:kern w:val="0"/>
          <w:szCs w:val="32"/>
          <w:lang w:eastAsia="zh-CN"/>
        </w:rPr>
        <w:t>.</w:t>
      </w:r>
      <w:r>
        <w:rPr>
          <w:rFonts w:hint="eastAsia"/>
          <w:kern w:val="0"/>
          <w:szCs w:val="32"/>
        </w:rPr>
        <w:t>各区、各团队要高度重视，认真组织，精心准备，积极推荐文化惠民券</w:t>
      </w:r>
      <w:r>
        <w:rPr>
          <w:rFonts w:hint="eastAsia"/>
          <w:kern w:val="0"/>
          <w:szCs w:val="32"/>
          <w:lang w:eastAsia="zh-CN"/>
        </w:rPr>
        <w:t>资助</w:t>
      </w:r>
      <w:r>
        <w:rPr>
          <w:rFonts w:hint="eastAsia" w:ascii="仿宋" w:hAnsi="仿宋" w:eastAsia="仿宋" w:cs="仿宋"/>
          <w:szCs w:val="32"/>
        </w:rPr>
        <w:t>演出群众文艺</w:t>
      </w:r>
      <w:r>
        <w:rPr>
          <w:rFonts w:hint="eastAsia"/>
          <w:kern w:val="0"/>
          <w:szCs w:val="32"/>
        </w:rPr>
        <w:t>团队优秀节目参加全市新创文艺节目调演。</w:t>
      </w:r>
    </w:p>
    <w:p>
      <w:pPr>
        <w:spacing w:line="578" w:lineRule="exact"/>
        <w:ind w:firstLine="640" w:firstLineChars="200"/>
        <w:rPr>
          <w:kern w:val="0"/>
          <w:szCs w:val="32"/>
        </w:rPr>
      </w:pPr>
      <w:r>
        <w:rPr>
          <w:rFonts w:hint="eastAsia"/>
          <w:kern w:val="0"/>
          <w:szCs w:val="32"/>
        </w:rPr>
        <w:t>2</w:t>
      </w:r>
      <w:r>
        <w:rPr>
          <w:rFonts w:hint="eastAsia"/>
          <w:kern w:val="0"/>
          <w:szCs w:val="32"/>
          <w:lang w:eastAsia="zh-CN"/>
        </w:rPr>
        <w:t>.</w:t>
      </w:r>
      <w:r>
        <w:rPr>
          <w:rFonts w:hint="eastAsia"/>
          <w:kern w:val="0"/>
          <w:szCs w:val="32"/>
        </w:rPr>
        <w:t>各团队要搞好统筹，抓紧排练，提高节目质量，合理安排好惠民文艺演出和调演</w:t>
      </w:r>
      <w:r>
        <w:rPr>
          <w:rFonts w:hint="eastAsia"/>
          <w:kern w:val="0"/>
          <w:szCs w:val="32"/>
          <w:lang w:eastAsia="zh-CN"/>
        </w:rPr>
        <w:t>活动</w:t>
      </w:r>
      <w:r>
        <w:rPr>
          <w:rFonts w:hint="eastAsia"/>
          <w:kern w:val="0"/>
          <w:szCs w:val="32"/>
        </w:rPr>
        <w:t>，确保参演与文化惠民服务两不误。</w:t>
      </w:r>
    </w:p>
    <w:p>
      <w:pPr>
        <w:spacing w:line="580" w:lineRule="exact"/>
        <w:ind w:firstLine="640" w:firstLineChars="200"/>
        <w:rPr>
          <w:rFonts w:hint="eastAsia" w:ascii="仿宋_GB2312" w:eastAsia="仿宋_GB2312"/>
          <w:sz w:val="32"/>
          <w:szCs w:val="32"/>
        </w:rPr>
      </w:pPr>
      <w:r>
        <w:rPr>
          <w:rFonts w:hint="eastAsia"/>
          <w:kern w:val="0"/>
          <w:szCs w:val="32"/>
        </w:rPr>
        <w:t>3</w:t>
      </w:r>
      <w:r>
        <w:rPr>
          <w:rFonts w:hint="eastAsia"/>
          <w:kern w:val="0"/>
          <w:szCs w:val="32"/>
          <w:lang w:eastAsia="zh-CN"/>
        </w:rPr>
        <w:t>.</w:t>
      </w:r>
      <w:r>
        <w:rPr>
          <w:rFonts w:hint="eastAsia"/>
          <w:szCs w:val="32"/>
        </w:rPr>
        <w:t>各区</w:t>
      </w:r>
      <w:r>
        <w:rPr>
          <w:rFonts w:hint="eastAsia"/>
          <w:szCs w:val="32"/>
          <w:lang w:eastAsia="zh-CN"/>
        </w:rPr>
        <w:t>要</w:t>
      </w:r>
      <w:r>
        <w:rPr>
          <w:rFonts w:hint="eastAsia"/>
          <w:szCs w:val="32"/>
        </w:rPr>
        <w:t>及时对接演出事项，</w:t>
      </w:r>
      <w:r>
        <w:rPr>
          <w:rFonts w:hint="eastAsia"/>
          <w:sz w:val="32"/>
          <w:szCs w:val="32"/>
          <w:lang w:eastAsia="zh-CN"/>
        </w:rPr>
        <w:t>具体相关内容</w:t>
      </w:r>
      <w:r>
        <w:rPr>
          <w:rFonts w:hint="eastAsia" w:ascii="仿宋_GB2312" w:eastAsia="仿宋_GB2312"/>
          <w:sz w:val="32"/>
          <w:szCs w:val="32"/>
        </w:rPr>
        <w:t>请与市文化馆联系，并于1</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sz w:val="32"/>
          <w:szCs w:val="32"/>
          <w:lang w:val="en-US" w:eastAsia="zh-CN"/>
        </w:rPr>
        <w:t>3</w:t>
      </w:r>
      <w:bookmarkStart w:id="0" w:name="_GoBack"/>
      <w:bookmarkEnd w:id="0"/>
      <w:r>
        <w:rPr>
          <w:rFonts w:hint="eastAsia" w:ascii="仿宋_GB2312" w:eastAsia="仿宋_GB2312"/>
          <w:sz w:val="32"/>
          <w:szCs w:val="32"/>
        </w:rPr>
        <w:t>日前报送演职人员名单、节目字幕、就餐人数及相关视频影像资料。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联系人：汪红（演职人员名单、节目字幕）联系电话：13951161899</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秦志伟（音视频）  联系电话：13401248437</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李建国 （后勤保障） 联系电话：13961011929</w:t>
      </w:r>
    </w:p>
    <w:p>
      <w:pPr>
        <w:spacing w:line="520" w:lineRule="exact"/>
        <w:ind w:firstLine="640" w:firstLineChars="200"/>
        <w:rPr>
          <w:rFonts w:hint="eastAsia"/>
          <w:kern w:val="0"/>
          <w:szCs w:val="32"/>
          <w:lang w:val="en-US" w:eastAsia="zh-CN"/>
        </w:rPr>
      </w:pPr>
      <w:r>
        <w:rPr>
          <w:rFonts w:hint="eastAsia"/>
          <w:szCs w:val="32"/>
        </w:rPr>
        <w:t>4</w:t>
      </w:r>
      <w:r>
        <w:rPr>
          <w:rFonts w:hint="eastAsia"/>
          <w:szCs w:val="32"/>
          <w:lang w:eastAsia="zh-CN"/>
        </w:rPr>
        <w:t>.市文化馆及</w:t>
      </w:r>
      <w:r>
        <w:rPr>
          <w:rFonts w:hint="eastAsia"/>
          <w:kern w:val="0"/>
          <w:szCs w:val="32"/>
          <w:lang w:val="en-US" w:eastAsia="zh-CN"/>
        </w:rPr>
        <w:t>各区需组织辖区内文化惠民券资助演出群众文艺团队观摩此次调演活动。其中，姜堰区80人，海陵区80人，高港区50人，医药高新区区30人，市文化馆50人。</w:t>
      </w:r>
    </w:p>
    <w:p>
      <w:pPr>
        <w:spacing w:line="520" w:lineRule="exact"/>
        <w:ind w:firstLine="640" w:firstLineChars="200"/>
        <w:rPr>
          <w:rFonts w:hint="eastAsia"/>
          <w:szCs w:val="32"/>
        </w:rPr>
      </w:pPr>
      <w:r>
        <w:rPr>
          <w:rFonts w:hint="eastAsia"/>
          <w:kern w:val="0"/>
          <w:szCs w:val="32"/>
          <w:lang w:val="en-US" w:eastAsia="zh-CN"/>
        </w:rPr>
        <w:t>5.</w:t>
      </w:r>
      <w:r>
        <w:rPr>
          <w:rFonts w:hint="eastAsia"/>
          <w:szCs w:val="32"/>
        </w:rPr>
        <w:t>各区</w:t>
      </w:r>
      <w:r>
        <w:rPr>
          <w:rFonts w:hint="eastAsia"/>
          <w:szCs w:val="32"/>
          <w:lang w:eastAsia="zh-CN"/>
        </w:rPr>
        <w:t>演出</w:t>
      </w:r>
      <w:r>
        <w:rPr>
          <w:rFonts w:hint="eastAsia"/>
          <w:szCs w:val="32"/>
        </w:rPr>
        <w:t>负责人、文化惠民资助演出文艺团队负责人要安排好车辆，加强好</w:t>
      </w:r>
      <w:r>
        <w:rPr>
          <w:rFonts w:hint="eastAsia"/>
          <w:szCs w:val="32"/>
          <w:lang w:eastAsia="zh-CN"/>
        </w:rPr>
        <w:t>演出</w:t>
      </w:r>
      <w:r>
        <w:rPr>
          <w:rFonts w:hint="eastAsia"/>
          <w:szCs w:val="32"/>
        </w:rPr>
        <w:t>途中人员的管理，确保人身安全。</w:t>
      </w:r>
    </w:p>
    <w:p>
      <w:pPr>
        <w:spacing w:line="520" w:lineRule="exact"/>
        <w:ind w:firstLine="640" w:firstLineChars="200"/>
        <w:rPr>
          <w:rFonts w:hint="eastAsia"/>
          <w:kern w:val="0"/>
          <w:szCs w:val="32"/>
        </w:rPr>
      </w:pPr>
    </w:p>
    <w:p>
      <w:pPr>
        <w:spacing w:line="520" w:lineRule="exact"/>
        <w:ind w:firstLine="640" w:firstLineChars="200"/>
        <w:rPr>
          <w:kern w:val="0"/>
          <w:szCs w:val="32"/>
        </w:rPr>
      </w:pPr>
      <w:r>
        <w:rPr>
          <w:rFonts w:hint="eastAsia"/>
          <w:kern w:val="0"/>
          <w:szCs w:val="32"/>
        </w:rPr>
        <w:t>附件：《2018年文化惠民券资助演出群众文艺团队新创节目调演推荐表》</w:t>
      </w:r>
    </w:p>
    <w:p>
      <w:pPr>
        <w:spacing w:line="560" w:lineRule="exact"/>
        <w:ind w:firstLine="640" w:firstLineChars="200"/>
        <w:rPr>
          <w:kern w:val="0"/>
          <w:szCs w:val="32"/>
        </w:rPr>
      </w:pPr>
    </w:p>
    <w:p>
      <w:pPr>
        <w:spacing w:line="560" w:lineRule="exact"/>
        <w:ind w:firstLine="640" w:firstLineChars="200"/>
        <w:rPr>
          <w:kern w:val="0"/>
          <w:szCs w:val="32"/>
        </w:rPr>
      </w:pPr>
    </w:p>
    <w:p>
      <w:pPr>
        <w:ind w:right="640" w:firstLine="5760" w:firstLineChars="1800"/>
        <w:rPr>
          <w:rFonts w:ascii="仿宋" w:hAnsi="仿宋" w:eastAsia="仿宋" w:cs="仿宋"/>
          <w:szCs w:val="32"/>
        </w:rPr>
      </w:pPr>
      <w:r>
        <w:rPr>
          <w:rFonts w:hint="eastAsia" w:ascii="仿宋" w:hAnsi="仿宋" w:eastAsia="仿宋" w:cs="仿宋"/>
          <w:szCs w:val="32"/>
        </w:rPr>
        <w:t>泰州市文广新局</w:t>
      </w:r>
    </w:p>
    <w:p>
      <w:pPr>
        <w:ind w:firstLine="640"/>
        <w:jc w:val="center"/>
        <w:rPr>
          <w:rFonts w:ascii="仿宋" w:hAnsi="仿宋" w:eastAsia="仿宋" w:cs="仿宋"/>
          <w:szCs w:val="32"/>
        </w:rPr>
      </w:pPr>
      <w:r>
        <w:rPr>
          <w:rFonts w:hint="eastAsia" w:ascii="仿宋" w:hAnsi="仿宋" w:eastAsia="仿宋" w:cs="仿宋"/>
          <w:szCs w:val="32"/>
        </w:rPr>
        <w:t xml:space="preserve">                         2018年1</w:t>
      </w:r>
      <w:r>
        <w:rPr>
          <w:rFonts w:hint="eastAsia" w:ascii="仿宋" w:hAnsi="仿宋" w:eastAsia="仿宋" w:cs="仿宋"/>
          <w:szCs w:val="32"/>
          <w:lang w:val="en-US" w:eastAsia="zh-CN"/>
        </w:rPr>
        <w:t>1</w:t>
      </w:r>
      <w:r>
        <w:rPr>
          <w:rFonts w:hint="eastAsia" w:ascii="仿宋" w:hAnsi="仿宋" w:eastAsia="仿宋" w:cs="仿宋"/>
          <w:szCs w:val="32"/>
        </w:rPr>
        <w:t>月</w:t>
      </w:r>
      <w:r>
        <w:rPr>
          <w:rFonts w:hint="eastAsia" w:ascii="仿宋" w:hAnsi="仿宋" w:eastAsia="仿宋" w:cs="仿宋"/>
          <w:szCs w:val="32"/>
          <w:lang w:val="en-US" w:eastAsia="zh-CN"/>
        </w:rPr>
        <w:t>28</w:t>
      </w:r>
      <w:r>
        <w:rPr>
          <w:rFonts w:hint="eastAsia" w:ascii="仿宋" w:hAnsi="仿宋" w:eastAsia="仿宋" w:cs="仿宋"/>
          <w:szCs w:val="32"/>
        </w:rPr>
        <w:t>日</w:t>
      </w:r>
    </w:p>
    <w:p>
      <w:pPr>
        <w:spacing w:line="520" w:lineRule="exact"/>
        <w:ind w:firstLine="640" w:firstLineChars="200"/>
        <w:rPr>
          <w:kern w:val="0"/>
          <w:szCs w:val="32"/>
        </w:rPr>
      </w:pPr>
    </w:p>
    <w:p>
      <w:pPr>
        <w:spacing w:line="520" w:lineRule="exact"/>
        <w:ind w:firstLine="640" w:firstLineChars="200"/>
        <w:rPr>
          <w:kern w:val="0"/>
          <w:szCs w:val="32"/>
        </w:rPr>
      </w:pPr>
    </w:p>
    <w:p>
      <w:pPr>
        <w:ind w:firstLine="640"/>
        <w:rPr>
          <w:rFonts w:ascii="黑体" w:hAnsi="黑体" w:eastAsia="黑体" w:cs="黑体"/>
          <w:szCs w:val="32"/>
        </w:rPr>
      </w:pPr>
    </w:p>
    <w:p>
      <w:pPr>
        <w:ind w:firstLine="640"/>
        <w:rPr>
          <w:rFonts w:ascii="仿宋" w:hAnsi="仿宋" w:eastAsia="仿宋" w:cs="仿宋"/>
          <w:szCs w:val="32"/>
        </w:rPr>
        <w:sectPr>
          <w:footerReference r:id="rId3" w:type="default"/>
          <w:footerReference r:id="rId4" w:type="even"/>
          <w:pgSz w:w="11906" w:h="16838"/>
          <w:pgMar w:top="1361" w:right="1418" w:bottom="1361" w:left="1418" w:header="851" w:footer="992" w:gutter="0"/>
          <w:cols w:space="425" w:num="1"/>
          <w:docGrid w:type="lines" w:linePitch="312" w:charSpace="0"/>
        </w:sectPr>
      </w:pPr>
      <w:r>
        <w:rPr>
          <w:rFonts w:hint="eastAsia" w:ascii="仿宋" w:hAnsi="仿宋" w:eastAsia="仿宋" w:cs="仿宋"/>
          <w:szCs w:val="32"/>
        </w:rPr>
        <w:t xml:space="preserve">                 </w:t>
      </w:r>
    </w:p>
    <w:p>
      <w:pPr>
        <w:spacing w:line="580" w:lineRule="exact"/>
        <w:jc w:val="left"/>
        <w:rPr>
          <w:rFonts w:ascii="黑体" w:hAnsi="黑体" w:eastAsia="黑体"/>
          <w:szCs w:val="32"/>
        </w:rPr>
      </w:pPr>
      <w:r>
        <w:rPr>
          <w:rFonts w:hint="eastAsia" w:ascii="黑体" w:hAnsi="黑体" w:eastAsia="黑体"/>
          <w:szCs w:val="32"/>
        </w:rPr>
        <w:t>附件：</w:t>
      </w:r>
    </w:p>
    <w:p>
      <w:pPr>
        <w:spacing w:line="600" w:lineRule="exact"/>
        <w:jc w:val="center"/>
        <w:rPr>
          <w:rFonts w:ascii="宋体" w:hAnsi="宋体" w:cs="宋体"/>
          <w:b/>
          <w:bCs/>
          <w:sz w:val="44"/>
          <w:szCs w:val="44"/>
        </w:rPr>
      </w:pPr>
      <w:r>
        <w:rPr>
          <w:rFonts w:hint="eastAsia" w:ascii="宋体" w:hAnsi="宋体" w:cs="宋体"/>
          <w:b/>
          <w:bCs/>
          <w:sz w:val="44"/>
          <w:szCs w:val="44"/>
        </w:rPr>
        <w:t>2018年文化惠民券资助演出群众文艺团队新创节目调演推荐表</w:t>
      </w:r>
    </w:p>
    <w:p>
      <w:pPr>
        <w:spacing w:line="600" w:lineRule="exact"/>
        <w:jc w:val="center"/>
        <w:rPr>
          <w:rFonts w:ascii="宋体" w:hAnsi="宋体" w:cs="宋体"/>
          <w:b/>
          <w:bCs/>
          <w:sz w:val="44"/>
          <w:szCs w:val="44"/>
        </w:rPr>
      </w:pPr>
    </w:p>
    <w:p>
      <w:pPr>
        <w:spacing w:line="600" w:lineRule="exact"/>
        <w:rPr>
          <w:rFonts w:ascii="黑体" w:hAnsi="黑体" w:eastAsia="黑体" w:cs="黑体"/>
          <w:bCs/>
          <w:sz w:val="30"/>
          <w:szCs w:val="30"/>
        </w:rPr>
      </w:pPr>
      <w:r>
        <w:rPr>
          <w:rFonts w:hint="eastAsia" w:ascii="黑体" w:hAnsi="黑体" w:eastAsia="黑体" w:cs="黑体"/>
          <w:bCs/>
          <w:sz w:val="30"/>
          <w:szCs w:val="30"/>
        </w:rPr>
        <w:t>推荐单位：</w:t>
      </w:r>
      <w:r>
        <w:rPr>
          <w:rFonts w:hint="eastAsia" w:ascii="黑体" w:hAnsi="黑体" w:eastAsia="黑体" w:cs="黑体"/>
          <w:bCs/>
          <w:sz w:val="30"/>
          <w:szCs w:val="30"/>
          <w:u w:val="single"/>
        </w:rPr>
        <w:t xml:space="preserve">                      </w:t>
      </w:r>
      <w:r>
        <w:rPr>
          <w:rFonts w:hint="eastAsia" w:ascii="黑体" w:hAnsi="黑体" w:eastAsia="黑体" w:cs="黑体"/>
          <w:bCs/>
          <w:sz w:val="30"/>
          <w:szCs w:val="30"/>
        </w:rPr>
        <w:t>（盖章）</w:t>
      </w:r>
    </w:p>
    <w:tbl>
      <w:tblPr>
        <w:tblStyle w:val="6"/>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3685"/>
        <w:gridCol w:w="2552"/>
        <w:gridCol w:w="1561"/>
        <w:gridCol w:w="168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节目名称</w:t>
            </w:r>
          </w:p>
        </w:tc>
        <w:tc>
          <w:tcPr>
            <w:tcW w:w="1559"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节目形式</w:t>
            </w:r>
          </w:p>
        </w:tc>
        <w:tc>
          <w:tcPr>
            <w:tcW w:w="3685"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编创人员姓名</w:t>
            </w:r>
          </w:p>
        </w:tc>
        <w:tc>
          <w:tcPr>
            <w:tcW w:w="2552"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主要演员姓名</w:t>
            </w:r>
          </w:p>
        </w:tc>
        <w:tc>
          <w:tcPr>
            <w:tcW w:w="1561"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参演单位</w:t>
            </w:r>
          </w:p>
        </w:tc>
        <w:tc>
          <w:tcPr>
            <w:tcW w:w="1683"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节目时长</w:t>
            </w:r>
          </w:p>
        </w:tc>
        <w:tc>
          <w:tcPr>
            <w:tcW w:w="1170" w:type="dxa"/>
            <w:vAlign w:val="center"/>
          </w:tcPr>
          <w:p>
            <w:pPr>
              <w:spacing w:line="1000" w:lineRule="exact"/>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900" w:lineRule="exact"/>
              <w:jc w:val="center"/>
              <w:rPr>
                <w:szCs w:val="32"/>
              </w:rPr>
            </w:pPr>
          </w:p>
        </w:tc>
        <w:tc>
          <w:tcPr>
            <w:tcW w:w="1559" w:type="dxa"/>
            <w:vAlign w:val="center"/>
          </w:tcPr>
          <w:p>
            <w:pPr>
              <w:spacing w:line="900" w:lineRule="exact"/>
              <w:jc w:val="center"/>
              <w:rPr>
                <w:szCs w:val="32"/>
              </w:rPr>
            </w:pPr>
          </w:p>
        </w:tc>
        <w:tc>
          <w:tcPr>
            <w:tcW w:w="3685" w:type="dxa"/>
            <w:vAlign w:val="center"/>
          </w:tcPr>
          <w:p>
            <w:pPr>
              <w:spacing w:line="900" w:lineRule="exact"/>
              <w:jc w:val="center"/>
              <w:rPr>
                <w:szCs w:val="32"/>
              </w:rPr>
            </w:pPr>
          </w:p>
        </w:tc>
        <w:tc>
          <w:tcPr>
            <w:tcW w:w="2552" w:type="dxa"/>
            <w:vAlign w:val="center"/>
          </w:tcPr>
          <w:p>
            <w:pPr>
              <w:spacing w:line="900" w:lineRule="exact"/>
              <w:jc w:val="center"/>
              <w:rPr>
                <w:szCs w:val="32"/>
              </w:rPr>
            </w:pPr>
          </w:p>
        </w:tc>
        <w:tc>
          <w:tcPr>
            <w:tcW w:w="1561" w:type="dxa"/>
            <w:vAlign w:val="center"/>
          </w:tcPr>
          <w:p>
            <w:pPr>
              <w:spacing w:line="900" w:lineRule="exact"/>
              <w:jc w:val="center"/>
              <w:rPr>
                <w:szCs w:val="32"/>
              </w:rPr>
            </w:pPr>
          </w:p>
        </w:tc>
        <w:tc>
          <w:tcPr>
            <w:tcW w:w="1683" w:type="dxa"/>
            <w:vAlign w:val="center"/>
          </w:tcPr>
          <w:p>
            <w:pPr>
              <w:spacing w:line="900" w:lineRule="exact"/>
              <w:jc w:val="center"/>
              <w:rPr>
                <w:szCs w:val="32"/>
              </w:rPr>
            </w:pPr>
          </w:p>
        </w:tc>
        <w:tc>
          <w:tcPr>
            <w:tcW w:w="1170" w:type="dxa"/>
            <w:vAlign w:val="center"/>
          </w:tcPr>
          <w:p>
            <w:pPr>
              <w:spacing w:line="9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900" w:lineRule="exact"/>
              <w:jc w:val="center"/>
              <w:rPr>
                <w:szCs w:val="32"/>
              </w:rPr>
            </w:pPr>
          </w:p>
        </w:tc>
        <w:tc>
          <w:tcPr>
            <w:tcW w:w="1559" w:type="dxa"/>
            <w:vAlign w:val="center"/>
          </w:tcPr>
          <w:p>
            <w:pPr>
              <w:spacing w:line="900" w:lineRule="exact"/>
              <w:jc w:val="center"/>
              <w:rPr>
                <w:szCs w:val="32"/>
              </w:rPr>
            </w:pPr>
          </w:p>
        </w:tc>
        <w:tc>
          <w:tcPr>
            <w:tcW w:w="3685" w:type="dxa"/>
            <w:vAlign w:val="center"/>
          </w:tcPr>
          <w:p>
            <w:pPr>
              <w:spacing w:line="900" w:lineRule="exact"/>
              <w:jc w:val="center"/>
              <w:rPr>
                <w:szCs w:val="32"/>
              </w:rPr>
            </w:pPr>
          </w:p>
        </w:tc>
        <w:tc>
          <w:tcPr>
            <w:tcW w:w="2552" w:type="dxa"/>
            <w:vAlign w:val="center"/>
          </w:tcPr>
          <w:p>
            <w:pPr>
              <w:spacing w:line="900" w:lineRule="exact"/>
              <w:jc w:val="center"/>
              <w:rPr>
                <w:szCs w:val="32"/>
              </w:rPr>
            </w:pPr>
          </w:p>
        </w:tc>
        <w:tc>
          <w:tcPr>
            <w:tcW w:w="1561" w:type="dxa"/>
            <w:vAlign w:val="center"/>
          </w:tcPr>
          <w:p>
            <w:pPr>
              <w:spacing w:line="900" w:lineRule="exact"/>
              <w:jc w:val="center"/>
              <w:rPr>
                <w:szCs w:val="32"/>
              </w:rPr>
            </w:pPr>
          </w:p>
        </w:tc>
        <w:tc>
          <w:tcPr>
            <w:tcW w:w="1683" w:type="dxa"/>
            <w:vAlign w:val="center"/>
          </w:tcPr>
          <w:p>
            <w:pPr>
              <w:spacing w:line="900" w:lineRule="exact"/>
              <w:jc w:val="center"/>
              <w:rPr>
                <w:szCs w:val="32"/>
              </w:rPr>
            </w:pPr>
          </w:p>
        </w:tc>
        <w:tc>
          <w:tcPr>
            <w:tcW w:w="1170" w:type="dxa"/>
            <w:vAlign w:val="center"/>
          </w:tcPr>
          <w:p>
            <w:pPr>
              <w:spacing w:line="9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900" w:lineRule="exact"/>
              <w:jc w:val="center"/>
              <w:rPr>
                <w:szCs w:val="32"/>
              </w:rPr>
            </w:pPr>
          </w:p>
        </w:tc>
        <w:tc>
          <w:tcPr>
            <w:tcW w:w="1559" w:type="dxa"/>
            <w:vAlign w:val="center"/>
          </w:tcPr>
          <w:p>
            <w:pPr>
              <w:spacing w:line="900" w:lineRule="exact"/>
              <w:jc w:val="center"/>
              <w:rPr>
                <w:szCs w:val="32"/>
              </w:rPr>
            </w:pPr>
          </w:p>
        </w:tc>
        <w:tc>
          <w:tcPr>
            <w:tcW w:w="3685" w:type="dxa"/>
            <w:vAlign w:val="center"/>
          </w:tcPr>
          <w:p>
            <w:pPr>
              <w:spacing w:line="900" w:lineRule="exact"/>
              <w:jc w:val="center"/>
              <w:rPr>
                <w:szCs w:val="32"/>
              </w:rPr>
            </w:pPr>
          </w:p>
        </w:tc>
        <w:tc>
          <w:tcPr>
            <w:tcW w:w="2552" w:type="dxa"/>
            <w:vAlign w:val="center"/>
          </w:tcPr>
          <w:p>
            <w:pPr>
              <w:spacing w:line="900" w:lineRule="exact"/>
              <w:jc w:val="center"/>
              <w:rPr>
                <w:szCs w:val="32"/>
              </w:rPr>
            </w:pPr>
          </w:p>
        </w:tc>
        <w:tc>
          <w:tcPr>
            <w:tcW w:w="1561" w:type="dxa"/>
            <w:vAlign w:val="center"/>
          </w:tcPr>
          <w:p>
            <w:pPr>
              <w:spacing w:line="900" w:lineRule="exact"/>
              <w:jc w:val="center"/>
              <w:rPr>
                <w:szCs w:val="32"/>
              </w:rPr>
            </w:pPr>
          </w:p>
        </w:tc>
        <w:tc>
          <w:tcPr>
            <w:tcW w:w="1683" w:type="dxa"/>
            <w:vAlign w:val="center"/>
          </w:tcPr>
          <w:p>
            <w:pPr>
              <w:spacing w:line="900" w:lineRule="exact"/>
              <w:jc w:val="center"/>
              <w:rPr>
                <w:szCs w:val="32"/>
              </w:rPr>
            </w:pPr>
          </w:p>
        </w:tc>
        <w:tc>
          <w:tcPr>
            <w:tcW w:w="1170" w:type="dxa"/>
            <w:vAlign w:val="center"/>
          </w:tcPr>
          <w:p>
            <w:pPr>
              <w:spacing w:line="9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900" w:lineRule="exact"/>
              <w:jc w:val="center"/>
              <w:rPr>
                <w:szCs w:val="32"/>
              </w:rPr>
            </w:pPr>
          </w:p>
        </w:tc>
        <w:tc>
          <w:tcPr>
            <w:tcW w:w="1559" w:type="dxa"/>
            <w:vAlign w:val="center"/>
          </w:tcPr>
          <w:p>
            <w:pPr>
              <w:spacing w:line="900" w:lineRule="exact"/>
              <w:jc w:val="center"/>
              <w:rPr>
                <w:szCs w:val="32"/>
              </w:rPr>
            </w:pPr>
          </w:p>
        </w:tc>
        <w:tc>
          <w:tcPr>
            <w:tcW w:w="3685" w:type="dxa"/>
            <w:vAlign w:val="center"/>
          </w:tcPr>
          <w:p>
            <w:pPr>
              <w:spacing w:line="900" w:lineRule="exact"/>
              <w:jc w:val="center"/>
              <w:rPr>
                <w:szCs w:val="32"/>
              </w:rPr>
            </w:pPr>
          </w:p>
        </w:tc>
        <w:tc>
          <w:tcPr>
            <w:tcW w:w="2552" w:type="dxa"/>
            <w:vAlign w:val="center"/>
          </w:tcPr>
          <w:p>
            <w:pPr>
              <w:spacing w:line="900" w:lineRule="exact"/>
              <w:jc w:val="center"/>
              <w:rPr>
                <w:szCs w:val="32"/>
              </w:rPr>
            </w:pPr>
          </w:p>
        </w:tc>
        <w:tc>
          <w:tcPr>
            <w:tcW w:w="1561" w:type="dxa"/>
            <w:vAlign w:val="center"/>
          </w:tcPr>
          <w:p>
            <w:pPr>
              <w:spacing w:line="900" w:lineRule="exact"/>
              <w:jc w:val="center"/>
              <w:rPr>
                <w:szCs w:val="32"/>
              </w:rPr>
            </w:pPr>
          </w:p>
        </w:tc>
        <w:tc>
          <w:tcPr>
            <w:tcW w:w="1683" w:type="dxa"/>
            <w:vAlign w:val="center"/>
          </w:tcPr>
          <w:p>
            <w:pPr>
              <w:spacing w:line="900" w:lineRule="exact"/>
              <w:jc w:val="center"/>
              <w:rPr>
                <w:szCs w:val="32"/>
              </w:rPr>
            </w:pPr>
          </w:p>
        </w:tc>
        <w:tc>
          <w:tcPr>
            <w:tcW w:w="1170" w:type="dxa"/>
            <w:vAlign w:val="center"/>
          </w:tcPr>
          <w:p>
            <w:pPr>
              <w:spacing w:line="9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900" w:lineRule="exact"/>
              <w:jc w:val="center"/>
              <w:rPr>
                <w:szCs w:val="32"/>
              </w:rPr>
            </w:pPr>
          </w:p>
        </w:tc>
        <w:tc>
          <w:tcPr>
            <w:tcW w:w="1559" w:type="dxa"/>
            <w:vAlign w:val="center"/>
          </w:tcPr>
          <w:p>
            <w:pPr>
              <w:spacing w:line="900" w:lineRule="exact"/>
              <w:jc w:val="center"/>
              <w:rPr>
                <w:szCs w:val="32"/>
              </w:rPr>
            </w:pPr>
          </w:p>
        </w:tc>
        <w:tc>
          <w:tcPr>
            <w:tcW w:w="3685" w:type="dxa"/>
            <w:vAlign w:val="center"/>
          </w:tcPr>
          <w:p>
            <w:pPr>
              <w:spacing w:line="900" w:lineRule="exact"/>
              <w:jc w:val="center"/>
              <w:rPr>
                <w:szCs w:val="32"/>
              </w:rPr>
            </w:pPr>
          </w:p>
        </w:tc>
        <w:tc>
          <w:tcPr>
            <w:tcW w:w="2552" w:type="dxa"/>
            <w:vAlign w:val="center"/>
          </w:tcPr>
          <w:p>
            <w:pPr>
              <w:spacing w:line="900" w:lineRule="exact"/>
              <w:jc w:val="center"/>
              <w:rPr>
                <w:szCs w:val="32"/>
              </w:rPr>
            </w:pPr>
          </w:p>
        </w:tc>
        <w:tc>
          <w:tcPr>
            <w:tcW w:w="1561" w:type="dxa"/>
            <w:vAlign w:val="center"/>
          </w:tcPr>
          <w:p>
            <w:pPr>
              <w:spacing w:line="900" w:lineRule="exact"/>
              <w:jc w:val="center"/>
              <w:rPr>
                <w:szCs w:val="32"/>
              </w:rPr>
            </w:pPr>
          </w:p>
        </w:tc>
        <w:tc>
          <w:tcPr>
            <w:tcW w:w="1683" w:type="dxa"/>
            <w:vAlign w:val="center"/>
          </w:tcPr>
          <w:p>
            <w:pPr>
              <w:spacing w:line="900" w:lineRule="exact"/>
              <w:jc w:val="center"/>
              <w:rPr>
                <w:szCs w:val="32"/>
              </w:rPr>
            </w:pPr>
          </w:p>
        </w:tc>
        <w:tc>
          <w:tcPr>
            <w:tcW w:w="1170" w:type="dxa"/>
            <w:vAlign w:val="center"/>
          </w:tcPr>
          <w:p>
            <w:pPr>
              <w:spacing w:line="900" w:lineRule="exact"/>
              <w:jc w:val="center"/>
              <w:rPr>
                <w:szCs w:val="32"/>
              </w:rPr>
            </w:pPr>
          </w:p>
        </w:tc>
      </w:tr>
    </w:tbl>
    <w:p>
      <w:pPr>
        <w:ind w:firstLine="640"/>
        <w:rPr>
          <w:rFonts w:ascii="仿宋" w:hAnsi="仿宋" w:eastAsia="仿宋" w:cs="仿宋"/>
          <w:szCs w:val="32"/>
        </w:rPr>
      </w:pPr>
    </w:p>
    <w:p/>
    <w:sectPr>
      <w:pgSz w:w="16838" w:h="11906" w:orient="landscape"/>
      <w:pgMar w:top="1418" w:right="1361" w:bottom="1418" w:left="1361"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8FD09"/>
    <w:multiLevelType w:val="singleLevel"/>
    <w:tmpl w:val="7F98FD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B64"/>
    <w:rsid w:val="000250BA"/>
    <w:rsid w:val="000A046B"/>
    <w:rsid w:val="000B096E"/>
    <w:rsid w:val="000F3B64"/>
    <w:rsid w:val="00125A6B"/>
    <w:rsid w:val="00126E94"/>
    <w:rsid w:val="001737D7"/>
    <w:rsid w:val="001F3323"/>
    <w:rsid w:val="00207325"/>
    <w:rsid w:val="002111F7"/>
    <w:rsid w:val="00215378"/>
    <w:rsid w:val="002C52BF"/>
    <w:rsid w:val="002C5916"/>
    <w:rsid w:val="003B1D05"/>
    <w:rsid w:val="003D78A4"/>
    <w:rsid w:val="00434623"/>
    <w:rsid w:val="00437CDD"/>
    <w:rsid w:val="00454454"/>
    <w:rsid w:val="004726B1"/>
    <w:rsid w:val="00480805"/>
    <w:rsid w:val="004B3CBB"/>
    <w:rsid w:val="00525008"/>
    <w:rsid w:val="0054216C"/>
    <w:rsid w:val="0057092F"/>
    <w:rsid w:val="005E5162"/>
    <w:rsid w:val="006035A5"/>
    <w:rsid w:val="006462EC"/>
    <w:rsid w:val="00687B17"/>
    <w:rsid w:val="006945D0"/>
    <w:rsid w:val="007B0D46"/>
    <w:rsid w:val="00822F5E"/>
    <w:rsid w:val="00825BFF"/>
    <w:rsid w:val="00883AEA"/>
    <w:rsid w:val="009C747F"/>
    <w:rsid w:val="00A06938"/>
    <w:rsid w:val="00A35AEB"/>
    <w:rsid w:val="00A94EFF"/>
    <w:rsid w:val="00AB27D9"/>
    <w:rsid w:val="00B170A9"/>
    <w:rsid w:val="00BF1FAA"/>
    <w:rsid w:val="00C419CE"/>
    <w:rsid w:val="00CA4AA3"/>
    <w:rsid w:val="00CD6BB5"/>
    <w:rsid w:val="00D161BE"/>
    <w:rsid w:val="00D32485"/>
    <w:rsid w:val="00DB5647"/>
    <w:rsid w:val="00E16E8A"/>
    <w:rsid w:val="00E46B74"/>
    <w:rsid w:val="00EA304F"/>
    <w:rsid w:val="00EF733A"/>
    <w:rsid w:val="00F043BF"/>
    <w:rsid w:val="00F23022"/>
    <w:rsid w:val="00FE14CF"/>
    <w:rsid w:val="12D536AC"/>
    <w:rsid w:val="19610D21"/>
    <w:rsid w:val="1FC2114C"/>
    <w:rsid w:val="32B107E5"/>
    <w:rsid w:val="3A51659A"/>
    <w:rsid w:val="3F181241"/>
    <w:rsid w:val="48D67C5C"/>
    <w:rsid w:val="539F6F13"/>
    <w:rsid w:val="54E76FAD"/>
    <w:rsid w:val="57280236"/>
    <w:rsid w:val="5CD3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DB5EE-F0C0-41E0-B599-F791112FC612}">
  <ds:schemaRefs/>
</ds:datastoreItem>
</file>

<file path=docProps/app.xml><?xml version="1.0" encoding="utf-8"?>
<Properties xmlns="http://schemas.openxmlformats.org/officeDocument/2006/extended-properties" xmlns:vt="http://schemas.openxmlformats.org/officeDocument/2006/docPropsVTypes">
  <Template>Normal</Template>
  <Company>联想（北京）有限公司</Company>
  <Pages>4</Pages>
  <Words>161</Words>
  <Characters>920</Characters>
  <Lines>7</Lines>
  <Paragraphs>2</Paragraphs>
  <TotalTime>4</TotalTime>
  <ScaleCrop>false</ScaleCrop>
  <LinksUpToDate>false</LinksUpToDate>
  <CharactersWithSpaces>1079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2018-11-28T01:51:00Z</dcterms:created>
  <dc:creator>Lenovo User</dc:creator>
  <cp:lastModifiedBy>津津乐道1399612348</cp:lastModifiedBy>
  <cp:lastPrinted>2006-03-24T00:47:00Z</cp:lastPrinted>
  <dcterms:modified xsi:type="dcterms:W3CDTF">2018-11-28T09:12:05Z</dcterms:modified>
  <dc:title>关于举办泰州市新创群众文艺节目调演的预备通知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